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2E" w:rsidRDefault="000A7B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OF PERIODONTICS</w:t>
      </w:r>
    </w:p>
    <w:p w:rsidR="007E212E" w:rsidRDefault="000A7B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7738" cy="2305050"/>
            <wp:effectExtent l="0" t="0" r="6350" b="0"/>
            <wp:docPr id="1026" name="Picture 1" descr="C:\Users\aswathy\Downloads\Presentation-WPS Office-page-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 l="15082" t="1" r="15497" b="-276"/>
                    <a:stretch/>
                  </pic:blipFill>
                  <pic:spPr>
                    <a:xfrm>
                      <a:off x="0" y="0"/>
                      <a:ext cx="2127738" cy="2305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2E" w:rsidRDefault="000A7B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 xml:space="preserve">: Dr Mathew John </w:t>
      </w:r>
    </w:p>
    <w:p w:rsidR="007E212E" w:rsidRDefault="000A7B2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>
        <w:rPr>
          <w:rFonts w:ascii="Times New Roman" w:hAnsi="Times New Roman" w:cs="Times New Roman"/>
          <w:sz w:val="24"/>
          <w:szCs w:val="24"/>
        </w:rPr>
        <w:t>: MDS</w:t>
      </w:r>
    </w:p>
    <w:p w:rsidR="007E212E" w:rsidRDefault="000A7B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>: Professor &amp; HOD</w:t>
      </w:r>
    </w:p>
    <w:p w:rsidR="007E212E" w:rsidRDefault="000A7B2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qualification, awards, achievement:</w:t>
      </w:r>
    </w:p>
    <w:p w:rsidR="007E212E" w:rsidRDefault="000A7B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publications:</w:t>
      </w:r>
    </w:p>
    <w:tbl>
      <w:tblPr>
        <w:tblW w:w="94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4509"/>
        <w:gridCol w:w="3697"/>
      </w:tblGrid>
      <w:tr w:rsidR="007E212E">
        <w:trPr>
          <w:trHeight w:val="827"/>
        </w:trPr>
        <w:tc>
          <w:tcPr>
            <w:tcW w:w="1242" w:type="dxa"/>
          </w:tcPr>
          <w:p w:rsidR="007E212E" w:rsidRDefault="000A7B28">
            <w:pPr>
              <w:pStyle w:val="TableParagraph"/>
              <w:spacing w:line="360" w:lineRule="auto"/>
              <w:ind w:left="2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Serial</w:t>
            </w:r>
          </w:p>
          <w:p w:rsidR="007E212E" w:rsidRDefault="000A7B28">
            <w:pPr>
              <w:pStyle w:val="TableParagraph"/>
              <w:spacing w:before="139" w:line="360" w:lineRule="auto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Article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2" w:righ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7E212E">
        <w:trPr>
          <w:trHeight w:val="551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256"/>
              <w:jc w:val="both"/>
              <w:rPr>
                <w:sz w:val="24"/>
              </w:rPr>
            </w:pPr>
            <w:r>
              <w:rPr>
                <w:sz w:val="24"/>
              </w:rPr>
              <w:t>Detection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</w:p>
          <w:p w:rsidR="007E212E" w:rsidRDefault="000A7B28">
            <w:pPr>
              <w:pStyle w:val="TableParagraph"/>
              <w:spacing w:line="360" w:lineRule="auto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malodour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periodontitis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patients.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422"/>
              <w:jc w:val="both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</w:p>
          <w:p w:rsidR="007E212E" w:rsidRDefault="000A7B28">
            <w:pPr>
              <w:pStyle w:val="TableParagraph"/>
              <w:spacing w:line="360" w:lineRule="auto"/>
              <w:ind w:left="506"/>
              <w:jc w:val="bot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2006;17:2-6.</w:t>
            </w:r>
          </w:p>
        </w:tc>
      </w:tr>
      <w:tr w:rsidR="007E212E">
        <w:trPr>
          <w:trHeight w:val="552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GTR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gingival</w:t>
            </w:r>
          </w:p>
          <w:p w:rsidR="007E212E" w:rsidRDefault="000A7B28">
            <w:pPr>
              <w:pStyle w:val="TableParagraph"/>
              <w:spacing w:line="360" w:lineRule="auto"/>
              <w:ind w:left="93" w:right="88"/>
              <w:jc w:val="both"/>
              <w:rPr>
                <w:sz w:val="24"/>
              </w:rPr>
            </w:pPr>
            <w:r>
              <w:rPr>
                <w:sz w:val="24"/>
              </w:rPr>
              <w:t>recession.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19" w:right="113"/>
              <w:jc w:val="both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E212E" w:rsidRDefault="000A7B28">
            <w:pPr>
              <w:pStyle w:val="TableParagraph"/>
              <w:spacing w:line="360" w:lineRule="auto"/>
              <w:ind w:left="121" w:right="113"/>
              <w:jc w:val="both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2007;66:1-2.</w:t>
            </w:r>
          </w:p>
        </w:tc>
      </w:tr>
      <w:tr w:rsidR="007E212E">
        <w:trPr>
          <w:trHeight w:val="554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2" w:right="88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thousand words.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2" w:right="113"/>
              <w:jc w:val="both"/>
              <w:rPr>
                <w:sz w:val="24"/>
              </w:rPr>
            </w:pPr>
            <w:r>
              <w:rPr>
                <w:sz w:val="24"/>
              </w:rPr>
              <w:t>Kerala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  <w:p w:rsidR="007E212E" w:rsidRDefault="000A7B28">
            <w:pPr>
              <w:pStyle w:val="TableParagraph"/>
              <w:spacing w:line="360" w:lineRule="auto"/>
              <w:ind w:left="121" w:right="113"/>
              <w:jc w:val="both"/>
              <w:rPr>
                <w:sz w:val="24"/>
              </w:rPr>
            </w:pPr>
            <w:r>
              <w:rPr>
                <w:sz w:val="24"/>
              </w:rPr>
              <w:t>2008;1;5-9.</w:t>
            </w:r>
          </w:p>
        </w:tc>
      </w:tr>
      <w:tr w:rsidR="007E212E">
        <w:trPr>
          <w:trHeight w:val="551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3" w:right="88"/>
              <w:jc w:val="both"/>
              <w:rPr>
                <w:sz w:val="24"/>
              </w:rPr>
            </w:pPr>
            <w:r>
              <w:rPr>
                <w:sz w:val="24"/>
              </w:rPr>
              <w:t>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1" w:right="113"/>
              <w:jc w:val="both"/>
              <w:rPr>
                <w:sz w:val="24"/>
              </w:rPr>
            </w:pPr>
            <w:r>
              <w:rPr>
                <w:sz w:val="24"/>
              </w:rPr>
              <w:t>Kerala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 2008;1:</w:t>
            </w:r>
          </w:p>
          <w:p w:rsidR="007E212E" w:rsidRDefault="000A7B28">
            <w:pPr>
              <w:pStyle w:val="TableParagraph"/>
              <w:spacing w:line="360" w:lineRule="auto"/>
              <w:ind w:left="121" w:right="113"/>
              <w:jc w:val="both"/>
              <w:rPr>
                <w:sz w:val="24"/>
              </w:rPr>
            </w:pPr>
            <w:r>
              <w:rPr>
                <w:sz w:val="24"/>
              </w:rPr>
              <w:t>51-56.</w:t>
            </w:r>
          </w:p>
        </w:tc>
      </w:tr>
      <w:tr w:rsidR="007E212E">
        <w:trPr>
          <w:trHeight w:val="412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6" w:right="88"/>
              <w:jc w:val="both"/>
              <w:rPr>
                <w:sz w:val="24"/>
              </w:rPr>
            </w:pPr>
            <w:r>
              <w:rPr>
                <w:sz w:val="24"/>
              </w:rPr>
              <w:t>Gingival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index.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2" w:right="111"/>
              <w:jc w:val="both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2008;2:14-9.</w:t>
            </w:r>
          </w:p>
        </w:tc>
      </w:tr>
      <w:tr w:rsidR="007E212E">
        <w:trPr>
          <w:trHeight w:val="554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5" w:right="88"/>
              <w:jc w:val="both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palatogingival</w:t>
            </w:r>
          </w:p>
          <w:p w:rsidR="007E212E" w:rsidRDefault="000A7B28">
            <w:pPr>
              <w:pStyle w:val="TableParagraph"/>
              <w:spacing w:line="360" w:lineRule="auto"/>
              <w:ind w:left="92" w:right="88"/>
              <w:jc w:val="both"/>
              <w:rPr>
                <w:sz w:val="24"/>
              </w:rPr>
            </w:pPr>
            <w:r>
              <w:rPr>
                <w:sz w:val="24"/>
              </w:rPr>
              <w:t>groove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series.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449"/>
              <w:jc w:val="both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</w:p>
          <w:p w:rsidR="007E212E" w:rsidRDefault="000A7B28">
            <w:pPr>
              <w:pStyle w:val="TableParagraph"/>
              <w:spacing w:line="360" w:lineRule="auto"/>
              <w:ind w:left="353"/>
              <w:jc w:val="both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2009;3:124-7.</w:t>
            </w:r>
          </w:p>
        </w:tc>
      </w:tr>
      <w:tr w:rsidR="007E212E">
        <w:trPr>
          <w:trHeight w:val="551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Orofacial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granulomatosis: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</w:p>
          <w:p w:rsidR="007E212E" w:rsidRDefault="000A7B28">
            <w:pPr>
              <w:pStyle w:val="TableParagraph"/>
              <w:spacing w:line="360" w:lineRule="auto"/>
              <w:ind w:left="96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report.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44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</w:p>
          <w:p w:rsidR="007E212E" w:rsidRDefault="000A7B28">
            <w:pPr>
              <w:pStyle w:val="TableParagraph"/>
              <w:spacing w:line="360" w:lineRule="auto"/>
              <w:ind w:left="4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2009;2:21-3.</w:t>
            </w:r>
          </w:p>
        </w:tc>
      </w:tr>
      <w:tr w:rsidR="007E212E">
        <w:trPr>
          <w:trHeight w:val="5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Detection of odoriferous subgingival and tongue microbiota in diabetic and nondiabetic patients with oral malodor using polymerase chain</w:t>
            </w:r>
          </w:p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reaction.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Indian Journal of Dental Research 2011;22:260-5.</w:t>
            </w:r>
          </w:p>
        </w:tc>
      </w:tr>
      <w:tr w:rsidR="007E212E">
        <w:trPr>
          <w:trHeight w:val="1104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7" w:right="86"/>
              <w:jc w:val="both"/>
              <w:rPr>
                <w:sz w:val="24"/>
              </w:rPr>
            </w:pPr>
            <w:r>
              <w:rPr>
                <w:sz w:val="24"/>
              </w:rPr>
              <w:t>Implant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maxillary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augmentated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</w:p>
          <w:p w:rsidR="007E212E" w:rsidRDefault="000A7B28">
            <w:pPr>
              <w:pStyle w:val="TableParagraph"/>
              <w:spacing w:line="360" w:lineRule="auto"/>
              <w:ind w:left="96" w:right="88"/>
              <w:jc w:val="both"/>
              <w:rPr>
                <w:sz w:val="24"/>
              </w:rPr>
            </w:pPr>
            <w:r>
              <w:rPr>
                <w:sz w:val="24"/>
              </w:rPr>
              <w:t>cortical bone harvested from chin: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2" w:right="108"/>
              <w:jc w:val="both"/>
              <w:rPr>
                <w:sz w:val="24"/>
              </w:rPr>
            </w:pPr>
            <w:r>
              <w:rPr>
                <w:sz w:val="24"/>
              </w:rPr>
              <w:t>Journal of Pacific Academy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Higher Education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2013;5:82-84.</w:t>
            </w:r>
          </w:p>
        </w:tc>
      </w:tr>
      <w:tr w:rsidR="007E212E">
        <w:trPr>
          <w:trHeight w:val="827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165"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>Conventional dentifrice in controlling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periodontal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329" w:right="312" w:hanging="6"/>
              <w:jc w:val="both"/>
              <w:rPr>
                <w:sz w:val="24"/>
              </w:rPr>
            </w:pPr>
            <w:r>
              <w:rPr>
                <w:sz w:val="24"/>
              </w:rPr>
              <w:t>Journal of Research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Advancement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Dentistry</w:t>
            </w:r>
          </w:p>
          <w:p w:rsidR="007E212E" w:rsidRDefault="000A7B28">
            <w:pPr>
              <w:pStyle w:val="TableParagraph"/>
              <w:spacing w:line="360" w:lineRule="auto"/>
              <w:ind w:left="121" w:right="113"/>
              <w:jc w:val="both"/>
              <w:rPr>
                <w:sz w:val="24"/>
              </w:rPr>
            </w:pPr>
            <w:r>
              <w:rPr>
                <w:sz w:val="24"/>
              </w:rPr>
              <w:t>2018;8:120-3.</w:t>
            </w:r>
          </w:p>
        </w:tc>
      </w:tr>
      <w:tr w:rsidR="007E212E">
        <w:trPr>
          <w:trHeight w:val="827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2" w:right="88"/>
              <w:jc w:val="both"/>
              <w:rPr>
                <w:sz w:val="24"/>
              </w:rPr>
            </w:pPr>
            <w:r>
              <w:rPr>
                <w:sz w:val="24"/>
              </w:rPr>
              <w:t>What’s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implants?</w:t>
            </w:r>
          </w:p>
          <w:p w:rsidR="007E212E" w:rsidRDefault="000A7B28">
            <w:pPr>
              <w:pStyle w:val="TableParagraph"/>
              <w:spacing w:line="360" w:lineRule="auto"/>
              <w:ind w:left="93" w:right="88"/>
              <w:jc w:val="both"/>
              <w:rPr>
                <w:sz w:val="24"/>
              </w:rPr>
            </w:pPr>
            <w:r>
              <w:rPr>
                <w:sz w:val="24"/>
              </w:rPr>
              <w:t>Ligaplans.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295" w:firstLine="127"/>
              <w:jc w:val="both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</w:p>
          <w:p w:rsidR="007E212E" w:rsidRDefault="000A7B28">
            <w:pPr>
              <w:pStyle w:val="TableParagraph"/>
              <w:spacing w:line="360" w:lineRule="auto"/>
              <w:ind w:left="914" w:right="286" w:hanging="620"/>
              <w:jc w:val="both"/>
              <w:rPr>
                <w:sz w:val="24"/>
              </w:rPr>
            </w:pPr>
            <w:r>
              <w:rPr>
                <w:sz w:val="24"/>
              </w:rPr>
              <w:t>Association, Kochi Branch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2019;1:15-20.</w:t>
            </w:r>
          </w:p>
        </w:tc>
      </w:tr>
      <w:tr w:rsidR="007E212E">
        <w:trPr>
          <w:trHeight w:val="828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897" w:right="355" w:hanging="531"/>
              <w:jc w:val="both"/>
              <w:rPr>
                <w:sz w:val="24"/>
              </w:rPr>
            </w:pPr>
            <w:r>
              <w:rPr>
                <w:sz w:val="24"/>
              </w:rPr>
              <w:t>What’s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advances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dentistry.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1" w:right="113"/>
              <w:jc w:val="both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Attingal</w:t>
            </w:r>
          </w:p>
          <w:p w:rsidR="007E212E" w:rsidRDefault="000A7B28">
            <w:pPr>
              <w:pStyle w:val="TableParagraph"/>
              <w:spacing w:line="360" w:lineRule="auto"/>
              <w:ind w:left="605" w:right="595"/>
              <w:jc w:val="both"/>
              <w:rPr>
                <w:sz w:val="24"/>
              </w:rPr>
            </w:pPr>
            <w:r>
              <w:rPr>
                <w:sz w:val="24"/>
              </w:rPr>
              <w:t>Branch, Impressions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2020:10:10-4.</w:t>
            </w:r>
          </w:p>
        </w:tc>
      </w:tr>
      <w:tr w:rsidR="007E212E">
        <w:trPr>
          <w:trHeight w:val="553"/>
        </w:trPr>
        <w:tc>
          <w:tcPr>
            <w:tcW w:w="1242" w:type="dxa"/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correlation between</w:t>
            </w:r>
          </w:p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sleep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hours, sleep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salivary levels of 8-Hydroxy – 2- deoxyguanosine in chronic periodontitis patients – An</w:t>
            </w:r>
          </w:p>
          <w:p w:rsidR="007E212E" w:rsidRDefault="000A7B28">
            <w:pPr>
              <w:pStyle w:val="TableParagraph"/>
              <w:spacing w:line="360" w:lineRule="auto"/>
              <w:ind w:left="97" w:right="88"/>
              <w:jc w:val="both"/>
              <w:rPr>
                <w:sz w:val="24"/>
              </w:rPr>
            </w:pPr>
            <w:r>
              <w:rPr>
                <w:sz w:val="24"/>
              </w:rPr>
              <w:t>observational study.</w:t>
            </w:r>
          </w:p>
        </w:tc>
        <w:tc>
          <w:tcPr>
            <w:tcW w:w="3697" w:type="dxa"/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2020;9:10-3.</w:t>
            </w:r>
          </w:p>
        </w:tc>
      </w:tr>
      <w:tr w:rsidR="007E212E">
        <w:trPr>
          <w:trHeight w:val="5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Evaluation of salivary hepatocyte growth factor levels in chronic</w:t>
            </w:r>
          </w:p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periodontitis patients before and after non-surgical periodontal treatment.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International Journal of Scientific Research 2020;9:8-</w:t>
            </w:r>
          </w:p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7E212E">
        <w:trPr>
          <w:trHeight w:val="5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Yes! Oxidative stress may be </w:t>
            </w:r>
            <w:r>
              <w:rPr>
                <w:sz w:val="24"/>
              </w:rPr>
              <w:t>a risk factor for chronic Periodontitis</w:t>
            </w:r>
          </w:p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patients.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Global Journal for Research Analysis 2020;9:26-8.</w:t>
            </w:r>
          </w:p>
        </w:tc>
      </w:tr>
      <w:tr w:rsidR="007E212E">
        <w:trPr>
          <w:trHeight w:val="5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7E212E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356"/>
              <w:jc w:val="both"/>
              <w:rPr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>Periodontal vaccine: a new adjunct in periodontal therapy.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International Journal Dental and Medical Sciences</w:t>
            </w:r>
          </w:p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Research 2021;3:1-5.</w:t>
            </w:r>
          </w:p>
        </w:tc>
      </w:tr>
      <w:tr w:rsidR="007E212E">
        <w:trPr>
          <w:trHeight w:val="5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360" w:right="35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Nano dentistry: a review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Journal of Indian Dental Association 2021;4: 48-50</w:t>
            </w:r>
          </w:p>
        </w:tc>
      </w:tr>
      <w:tr w:rsidR="007E212E">
        <w:trPr>
          <w:trHeight w:val="5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363" w:right="356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9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Marine based biomaterials: a marvel in periodontal regeneration – a review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2E" w:rsidRDefault="000A7B28">
            <w:pPr>
              <w:pStyle w:val="TableParagraph"/>
              <w:spacing w:line="360" w:lineRule="auto"/>
              <w:ind w:left="120" w:right="113"/>
              <w:jc w:val="both"/>
              <w:rPr>
                <w:sz w:val="24"/>
              </w:rPr>
            </w:pPr>
            <w:r>
              <w:rPr>
                <w:sz w:val="24"/>
              </w:rPr>
              <w:t>Advanced dental journal 2023,5[1]:24-34</w:t>
            </w:r>
          </w:p>
        </w:tc>
      </w:tr>
    </w:tbl>
    <w:p w:rsidR="007E212E" w:rsidRDefault="007E21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12E" w:rsidRDefault="007E21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212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B7A48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2E"/>
    <w:rsid w:val="000A7B28"/>
    <w:rsid w:val="007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Kartika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Kartika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aswathy</dc:creator>
  <cp:lastModifiedBy>aswathy</cp:lastModifiedBy>
  <cp:revision>2</cp:revision>
  <dcterms:created xsi:type="dcterms:W3CDTF">2023-05-30T12:51:00Z</dcterms:created>
  <dcterms:modified xsi:type="dcterms:W3CDTF">2023-05-30T12:51:00Z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bfa396da063d444995f1b9f9af291140</vt:lpwstr>
  </property>
</Properties>
</file>